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DD36DB" w:rsidP="00B22090">
            <w:pPr>
              <w:spacing w:before="120"/>
              <w:ind w:left="-60" w:right="-60"/>
              <w:jc w:val="center"/>
              <w:rPr>
                <w:sz w:val="22"/>
                <w:szCs w:val="22"/>
              </w:rPr>
            </w:pPr>
            <w:r>
              <w:rPr>
                <w:sz w:val="22"/>
                <w:szCs w:val="22"/>
              </w:rPr>
              <w:t>Florida</w:t>
            </w:r>
          </w:p>
        </w:tc>
      </w:tr>
      <w:tr w:rsidR="00E1663A" w:rsidTr="00FF0F29">
        <w:trPr>
          <w:cantSplit/>
          <w:trHeight w:hRule="exact" w:val="601"/>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AF741D" w:rsidP="00067C26">
            <w:pPr>
              <w:spacing w:before="20"/>
              <w:ind w:left="-60" w:right="-60"/>
              <w:jc w:val="center"/>
              <w:rPr>
                <w:sz w:val="22"/>
              </w:rPr>
            </w:pPr>
            <w:r>
              <w:rPr>
                <w:sz w:val="22"/>
              </w:rPr>
              <w:t>Special Basep</w:t>
            </w:r>
            <w:r w:rsidR="00DD36DB">
              <w:rPr>
                <w:sz w:val="22"/>
              </w:rPr>
              <w:t>late Guardrail Posts</w:t>
            </w:r>
          </w:p>
        </w:tc>
      </w:tr>
      <w:tr w:rsidR="00E1663A" w:rsidRPr="00027C26" w:rsidTr="00003F4B">
        <w:trPr>
          <w:cantSplit/>
          <w:trHeight w:hRule="exact" w:val="2797"/>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307A5C" w:rsidRDefault="00DD36DB" w:rsidP="00DF05F5">
            <w:pPr>
              <w:spacing w:before="20"/>
              <w:ind w:left="-60" w:right="-60"/>
              <w:rPr>
                <w:sz w:val="22"/>
              </w:rPr>
            </w:pPr>
            <w:r>
              <w:rPr>
                <w:sz w:val="22"/>
              </w:rPr>
              <w:t>Special guardrail posts</w:t>
            </w:r>
            <w:r w:rsidR="00AF741D">
              <w:rPr>
                <w:sz w:val="22"/>
              </w:rPr>
              <w:t xml:space="preserve"> with</w:t>
            </w:r>
            <w:r>
              <w:rPr>
                <w:sz w:val="22"/>
              </w:rPr>
              <w:t xml:space="preserve"> baseplate</w:t>
            </w:r>
            <w:r w:rsidR="00AF741D">
              <w:rPr>
                <w:sz w:val="22"/>
              </w:rPr>
              <w:t>s</w:t>
            </w:r>
            <w:r>
              <w:rPr>
                <w:sz w:val="22"/>
              </w:rPr>
              <w:t xml:space="preserve"> (PWF01-06)</w:t>
            </w:r>
            <w:r w:rsidR="00AF741D">
              <w:rPr>
                <w:sz w:val="22"/>
              </w:rPr>
              <w:t xml:space="preserve"> are commonly used along standard guardrail runs at locations where concrete structures prevent the installation of a conventional buried timber or steel post. Concrete structures may include; bridge decks, drainage structures (i.e. curb inlets), and culvert headwalls.  Additionally, at locations where buried utilities or structures prohibit the installation of standard posts, the baseplate post option could provide an alternative when installed in combination with a continuous</w:t>
            </w:r>
            <w:r w:rsidR="00DF05F5">
              <w:rPr>
                <w:sz w:val="22"/>
              </w:rPr>
              <w:t xml:space="preserve"> moment slab.  This post option needs to be reevaluated to establish MASH acceptability</w:t>
            </w:r>
            <w:r w:rsidR="00CC6BD7">
              <w:rPr>
                <w:sz w:val="22"/>
              </w:rPr>
              <w:t xml:space="preserve"> when used with 31-in w-beam guardrail and </w:t>
            </w:r>
            <w:proofErr w:type="spellStart"/>
            <w:r w:rsidR="00CC6BD7">
              <w:rPr>
                <w:sz w:val="22"/>
              </w:rPr>
              <w:t>thrie</w:t>
            </w:r>
            <w:proofErr w:type="spellEnd"/>
            <w:r w:rsidR="00CC6BD7">
              <w:rPr>
                <w:sz w:val="22"/>
              </w:rPr>
              <w:t>-beam</w:t>
            </w:r>
            <w:r w:rsidR="00DF05F5">
              <w:rPr>
                <w:sz w:val="22"/>
              </w:rPr>
              <w:t xml:space="preserve">. </w:t>
            </w:r>
          </w:p>
          <w:p w:rsidR="00307A5C" w:rsidRPr="00FF0F29" w:rsidRDefault="00307A5C" w:rsidP="00DF05F5">
            <w:pPr>
              <w:spacing w:before="20"/>
              <w:ind w:left="-60" w:right="-60"/>
              <w:rPr>
                <w:sz w:val="16"/>
                <w:szCs w:val="16"/>
              </w:rPr>
            </w:pPr>
          </w:p>
          <w:p w:rsidR="00DF05F5" w:rsidRDefault="00DF05F5" w:rsidP="00DF05F5">
            <w:pPr>
              <w:spacing w:before="20"/>
              <w:ind w:left="-60" w:right="-60"/>
              <w:rPr>
                <w:sz w:val="22"/>
              </w:rPr>
            </w:pPr>
            <w:r>
              <w:rPr>
                <w:sz w:val="22"/>
              </w:rPr>
              <w:t>One</w:t>
            </w:r>
            <w:r w:rsidR="00307A5C">
              <w:rPr>
                <w:sz w:val="22"/>
              </w:rPr>
              <w:t xml:space="preserve"> additional</w:t>
            </w:r>
            <w:r>
              <w:rPr>
                <w:sz w:val="22"/>
              </w:rPr>
              <w:t xml:space="preserve"> problem with the current usage is when a single baseplate post is installed within a run of standard guardrail it creates a stiffer section of rail.  A modified baseplate with bolts located only behind the post would allow the post to rotate and deflect as a standard post.</w:t>
            </w:r>
          </w:p>
          <w:p w:rsidR="00DF05F5" w:rsidRDefault="00DF05F5" w:rsidP="00DF05F5">
            <w:pPr>
              <w:spacing w:before="20"/>
              <w:ind w:left="-60" w:right="-60"/>
              <w:rPr>
                <w:sz w:val="22"/>
              </w:rPr>
            </w:pPr>
          </w:p>
          <w:p w:rsidR="00E1663A" w:rsidRPr="00027C26" w:rsidRDefault="00DF05F5" w:rsidP="00DF05F5">
            <w:pPr>
              <w:spacing w:before="20"/>
              <w:ind w:left="-60" w:right="-60"/>
              <w:rPr>
                <w:sz w:val="22"/>
              </w:rPr>
            </w:pPr>
            <w:r>
              <w:rPr>
                <w:sz w:val="22"/>
              </w:rPr>
              <w:t xml:space="preserve">  </w:t>
            </w:r>
          </w:p>
        </w:tc>
      </w:tr>
      <w:tr w:rsidR="00E1663A" w:rsidTr="00003F4B">
        <w:trPr>
          <w:cantSplit/>
          <w:trHeight w:hRule="exact" w:val="1717"/>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D7B7F" w:rsidRDefault="00CF3E82" w:rsidP="00307A5C">
            <w:pPr>
              <w:autoSpaceDE w:val="0"/>
              <w:autoSpaceDN w:val="0"/>
              <w:adjustRightInd w:val="0"/>
              <w:rPr>
                <w:sz w:val="22"/>
              </w:rPr>
            </w:pPr>
            <w:r>
              <w:rPr>
                <w:sz w:val="22"/>
              </w:rPr>
              <w:t xml:space="preserve">Part 1)  </w:t>
            </w:r>
            <w:r w:rsidR="00307A5C">
              <w:rPr>
                <w:sz w:val="22"/>
              </w:rPr>
              <w:t xml:space="preserve">Determine the acceptable MASH test level for the baseplate post option under various installation conditions (i.e. single post at standard spacing, multiple posts at both standard and reduced spacing, and the use of both w-beam and </w:t>
            </w:r>
            <w:proofErr w:type="spellStart"/>
            <w:r w:rsidR="00307A5C">
              <w:rPr>
                <w:sz w:val="22"/>
              </w:rPr>
              <w:t>thrie</w:t>
            </w:r>
            <w:proofErr w:type="spellEnd"/>
            <w:r w:rsidR="00307A5C">
              <w:rPr>
                <w:sz w:val="22"/>
              </w:rPr>
              <w:t xml:space="preserve">-beam guardrail).  </w:t>
            </w:r>
            <w:r w:rsidR="003D7B7F" w:rsidRPr="003D7B7F">
              <w:rPr>
                <w:sz w:val="22"/>
              </w:rPr>
              <w:t xml:space="preserve">Review </w:t>
            </w:r>
            <w:proofErr w:type="spellStart"/>
            <w:r w:rsidR="003D7B7F" w:rsidRPr="003D7B7F">
              <w:rPr>
                <w:sz w:val="22"/>
              </w:rPr>
              <w:t>TxDOT's</w:t>
            </w:r>
            <w:proofErr w:type="spellEnd"/>
            <w:r w:rsidR="003D7B7F" w:rsidRPr="003D7B7F">
              <w:rPr>
                <w:sz w:val="22"/>
              </w:rPr>
              <w:t xml:space="preserve"> T631 standard</w:t>
            </w:r>
            <w:r w:rsidR="003D7B7F">
              <w:rPr>
                <w:sz w:val="22"/>
              </w:rPr>
              <w:t xml:space="preserve"> post which may be appropriate:</w:t>
            </w:r>
          </w:p>
          <w:p w:rsidR="0034439B" w:rsidRDefault="0058089D" w:rsidP="00307A5C">
            <w:pPr>
              <w:autoSpaceDE w:val="0"/>
              <w:autoSpaceDN w:val="0"/>
              <w:adjustRightInd w:val="0"/>
              <w:rPr>
                <w:sz w:val="22"/>
              </w:rPr>
            </w:pPr>
            <w:hyperlink r:id="rId5" w:history="1">
              <w:r w:rsidR="003D7B7F" w:rsidRPr="003D7B7F">
                <w:rPr>
                  <w:rStyle w:val="Hyperlink"/>
                  <w:sz w:val="22"/>
                </w:rPr>
                <w:t>http://ftp.dot.state.tx.us/pub/txdot-info/cmd/cserve/standard/bridge/rlstd038.pdf</w:t>
              </w:r>
            </w:hyperlink>
          </w:p>
          <w:p w:rsidR="00307A5C" w:rsidRPr="00FF0F29" w:rsidRDefault="00307A5C" w:rsidP="00307A5C">
            <w:pPr>
              <w:autoSpaceDE w:val="0"/>
              <w:autoSpaceDN w:val="0"/>
              <w:adjustRightInd w:val="0"/>
              <w:rPr>
                <w:sz w:val="16"/>
                <w:szCs w:val="16"/>
              </w:rPr>
            </w:pPr>
          </w:p>
          <w:p w:rsidR="00307A5C" w:rsidRDefault="00CF3E82" w:rsidP="00CB1241">
            <w:pPr>
              <w:autoSpaceDE w:val="0"/>
              <w:autoSpaceDN w:val="0"/>
              <w:adjustRightInd w:val="0"/>
              <w:rPr>
                <w:sz w:val="22"/>
              </w:rPr>
            </w:pPr>
            <w:r>
              <w:rPr>
                <w:sz w:val="22"/>
              </w:rPr>
              <w:t>Part 2</w:t>
            </w:r>
            <w:proofErr w:type="gramStart"/>
            <w:r>
              <w:rPr>
                <w:sz w:val="22"/>
              </w:rPr>
              <w:t xml:space="preserve">)  </w:t>
            </w:r>
            <w:r w:rsidR="00307A5C">
              <w:rPr>
                <w:sz w:val="22"/>
              </w:rPr>
              <w:t>Develop</w:t>
            </w:r>
            <w:proofErr w:type="gramEnd"/>
            <w:r w:rsidR="00307A5C">
              <w:rPr>
                <w:sz w:val="22"/>
              </w:rPr>
              <w:t xml:space="preserve"> a new baseplate option </w:t>
            </w:r>
            <w:r w:rsidR="00560786">
              <w:rPr>
                <w:sz w:val="22"/>
              </w:rPr>
              <w:t>with an equivalent rotational stiffness as</w:t>
            </w:r>
            <w:r w:rsidR="00307A5C">
              <w:rPr>
                <w:sz w:val="22"/>
              </w:rPr>
              <w:t xml:space="preserve"> a standard </w:t>
            </w:r>
            <w:r w:rsidR="00CB1241">
              <w:rPr>
                <w:sz w:val="22"/>
              </w:rPr>
              <w:t xml:space="preserve">buried </w:t>
            </w:r>
            <w:r w:rsidR="00307A5C">
              <w:rPr>
                <w:sz w:val="22"/>
              </w:rPr>
              <w:t>post.</w:t>
            </w:r>
          </w:p>
        </w:tc>
      </w:tr>
      <w:tr w:rsidR="00E1663A" w:rsidTr="00CB1241">
        <w:trPr>
          <w:cantSplit/>
          <w:trHeight w:hRule="exact" w:val="1357"/>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C90A62" w:rsidP="007519FF">
            <w:pPr>
              <w:spacing w:before="20"/>
              <w:ind w:right="-60"/>
              <w:rPr>
                <w:sz w:val="22"/>
              </w:rPr>
            </w:pPr>
            <w:r>
              <w:rPr>
                <w:sz w:val="22"/>
              </w:rPr>
              <w:t xml:space="preserve">Provide a MASH acceptable alternative to buried guardrail posts for continuation of guardrail (either w-beam or </w:t>
            </w:r>
            <w:proofErr w:type="spellStart"/>
            <w:r>
              <w:rPr>
                <w:sz w:val="22"/>
              </w:rPr>
              <w:t>thrie</w:t>
            </w:r>
            <w:proofErr w:type="spellEnd"/>
            <w:r>
              <w:rPr>
                <w:sz w:val="22"/>
              </w:rPr>
              <w:t>-beam) across bridges, over buried utilities, or other concrete structure adjacent to the roadway.  With the impending adoption of the MASH</w:t>
            </w:r>
            <w:r w:rsidR="007519FF">
              <w:rPr>
                <w:sz w:val="22"/>
              </w:rPr>
              <w:t xml:space="preserve"> Implementation Agreement evaluating currently used alternatives is necessary for their continued use.</w:t>
            </w:r>
            <w:r>
              <w:rPr>
                <w:sz w:val="22"/>
              </w:rPr>
              <w:t xml:space="preserve"> </w:t>
            </w:r>
          </w:p>
        </w:tc>
      </w:tr>
      <w:tr w:rsidR="00E1663A" w:rsidTr="0058089D">
        <w:trPr>
          <w:trHeight w:val="3227"/>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proofErr w:type="gramStart"/>
            <w:r>
              <w:rPr>
                <w:sz w:val="16"/>
              </w:rPr>
              <w:t>:</w:t>
            </w:r>
            <w:proofErr w:type="gramEnd"/>
            <w:r>
              <w:rPr>
                <w:sz w:val="16"/>
              </w:rPr>
              <w:t> </w:t>
            </w:r>
            <w:r>
              <w:rPr>
                <w:i/>
                <w:sz w:val="16"/>
              </w:rPr>
              <w:t>(Be as detailed as possible.  Include drawings and/or plans, if available.)</w:t>
            </w:r>
          </w:p>
          <w:p w:rsidR="00FD743F" w:rsidRDefault="00CF3E82" w:rsidP="00C65E15">
            <w:pPr>
              <w:spacing w:before="20"/>
              <w:ind w:left="-60" w:right="-60"/>
              <w:rPr>
                <w:sz w:val="22"/>
              </w:rPr>
            </w:pPr>
            <w:r>
              <w:rPr>
                <w:sz w:val="22"/>
              </w:rPr>
              <w:t xml:space="preserve">Part 1) – Evaluation of Existing Special Baseplate Posts: </w:t>
            </w:r>
            <w:r w:rsidR="00CB1241">
              <w:rPr>
                <w:sz w:val="22"/>
              </w:rPr>
              <w:t xml:space="preserve">Research will be needed to evaluate the most appropriate Special Baseplate standard from the TF13 Barrier Hardware Guide (i.e. PWF01 thru PWF06) or </w:t>
            </w:r>
            <w:proofErr w:type="spellStart"/>
            <w:r w:rsidR="00CB1241">
              <w:rPr>
                <w:sz w:val="22"/>
              </w:rPr>
              <w:t>TxDOT’s</w:t>
            </w:r>
            <w:proofErr w:type="spellEnd"/>
            <w:r w:rsidR="00CB1241">
              <w:rPr>
                <w:sz w:val="22"/>
              </w:rPr>
              <w:t xml:space="preserve"> T361, for MASH testing.  Below is a photograph of a guardrail installation with special baseplat</w:t>
            </w:r>
            <w:r w:rsidR="009572E3">
              <w:rPr>
                <w:sz w:val="22"/>
              </w:rPr>
              <w:t xml:space="preserve">e post, design details for a Thrie-beam post and details for a W-beam post. </w:t>
            </w:r>
          </w:p>
          <w:p w:rsidR="009B087E" w:rsidRPr="00CB1241" w:rsidRDefault="009B087E" w:rsidP="00C65E15">
            <w:pPr>
              <w:spacing w:before="20"/>
              <w:ind w:left="-60" w:right="-60"/>
              <w:rPr>
                <w:sz w:val="16"/>
                <w:szCs w:val="16"/>
              </w:rPr>
            </w:pPr>
          </w:p>
          <w:p w:rsidR="009B087E" w:rsidRDefault="009B087E" w:rsidP="00267898">
            <w:pPr>
              <w:spacing w:before="20"/>
              <w:ind w:left="-60" w:right="-60"/>
              <w:jc w:val="center"/>
              <w:rPr>
                <w:sz w:val="22"/>
              </w:rPr>
            </w:pPr>
            <w:r>
              <w:rPr>
                <w:noProof/>
              </w:rPr>
              <w:drawing>
                <wp:inline distT="0" distB="0" distL="0" distR="0" wp14:anchorId="354F90B9" wp14:editId="486FC7B2">
                  <wp:extent cx="4914900" cy="24352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9711" cy="2482232"/>
                          </a:xfrm>
                          <a:prstGeom prst="rect">
                            <a:avLst/>
                          </a:prstGeom>
                        </pic:spPr>
                      </pic:pic>
                    </a:graphicData>
                  </a:graphic>
                </wp:inline>
              </w:drawing>
            </w:r>
          </w:p>
          <w:p w:rsidR="00003F4B" w:rsidRDefault="00003F4B" w:rsidP="00267898">
            <w:pPr>
              <w:spacing w:before="20"/>
              <w:ind w:left="-60" w:right="-60"/>
              <w:jc w:val="center"/>
              <w:rPr>
                <w:sz w:val="22"/>
              </w:rPr>
            </w:pPr>
          </w:p>
          <w:p w:rsidR="00003F4B" w:rsidRDefault="00003F4B" w:rsidP="00267898">
            <w:pPr>
              <w:spacing w:before="20"/>
              <w:ind w:left="-60" w:right="-60"/>
              <w:jc w:val="center"/>
              <w:rPr>
                <w:sz w:val="22"/>
              </w:rPr>
            </w:pPr>
          </w:p>
          <w:p w:rsidR="00003F4B" w:rsidRDefault="00003F4B" w:rsidP="00267898">
            <w:pPr>
              <w:spacing w:before="20"/>
              <w:ind w:left="-60" w:right="-60"/>
              <w:jc w:val="center"/>
              <w:rPr>
                <w:sz w:val="22"/>
              </w:rPr>
            </w:pPr>
          </w:p>
          <w:p w:rsidR="009572E3" w:rsidRDefault="009572E3" w:rsidP="00267898">
            <w:pPr>
              <w:spacing w:before="20"/>
              <w:ind w:left="-60" w:right="-60"/>
              <w:jc w:val="center"/>
              <w:rPr>
                <w:sz w:val="22"/>
              </w:rPr>
            </w:pPr>
          </w:p>
          <w:p w:rsidR="009572E3" w:rsidRDefault="009572E3" w:rsidP="00267898">
            <w:pPr>
              <w:spacing w:before="20"/>
              <w:ind w:left="-60" w:right="-60"/>
              <w:jc w:val="center"/>
              <w:rPr>
                <w:sz w:val="22"/>
              </w:rPr>
            </w:pPr>
            <w:r>
              <w:rPr>
                <w:noProof/>
              </w:rPr>
              <w:drawing>
                <wp:inline distT="0" distB="0" distL="0" distR="0" wp14:anchorId="034CE43D" wp14:editId="37DCB334">
                  <wp:extent cx="5158740" cy="2746415"/>
                  <wp:effectExtent l="0" t="0" r="3810" b="0"/>
                  <wp:docPr id="3" name="Picture 3" descr="C:\Users\rd960ds\AppData\Local\Temp\SNAGHTML1139e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960ds\AppData\Local\Temp\SNAGHTML1139eb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7574" cy="2751118"/>
                          </a:xfrm>
                          <a:prstGeom prst="rect">
                            <a:avLst/>
                          </a:prstGeom>
                          <a:noFill/>
                          <a:ln>
                            <a:noFill/>
                          </a:ln>
                        </pic:spPr>
                      </pic:pic>
                    </a:graphicData>
                  </a:graphic>
                </wp:inline>
              </w:drawing>
            </w:r>
          </w:p>
          <w:p w:rsidR="009572E3" w:rsidRPr="00003F4B" w:rsidRDefault="009572E3" w:rsidP="00267898">
            <w:pPr>
              <w:spacing w:before="20"/>
              <w:ind w:left="-60" w:right="-60"/>
              <w:jc w:val="center"/>
              <w:rPr>
                <w:b/>
                <w:sz w:val="22"/>
              </w:rPr>
            </w:pPr>
            <w:r w:rsidRPr="00003F4B">
              <w:rPr>
                <w:b/>
                <w:sz w:val="22"/>
              </w:rPr>
              <w:t>Special Baseplate Post (Thrie-beam)</w:t>
            </w:r>
          </w:p>
          <w:p w:rsidR="009572E3" w:rsidRDefault="009572E3" w:rsidP="00267898">
            <w:pPr>
              <w:spacing w:before="20"/>
              <w:ind w:left="-60" w:right="-60"/>
              <w:jc w:val="center"/>
              <w:rPr>
                <w:sz w:val="22"/>
              </w:rPr>
            </w:pPr>
          </w:p>
          <w:p w:rsidR="009572E3" w:rsidRDefault="009572E3" w:rsidP="00267898">
            <w:pPr>
              <w:spacing w:before="20"/>
              <w:ind w:left="-60" w:right="-60"/>
              <w:jc w:val="center"/>
              <w:rPr>
                <w:sz w:val="22"/>
              </w:rPr>
            </w:pPr>
          </w:p>
          <w:p w:rsidR="00003F4B" w:rsidRDefault="00003F4B" w:rsidP="00267898">
            <w:pPr>
              <w:spacing w:before="20"/>
              <w:ind w:left="-60" w:right="-60"/>
              <w:jc w:val="center"/>
              <w:rPr>
                <w:sz w:val="22"/>
              </w:rPr>
            </w:pPr>
          </w:p>
          <w:p w:rsidR="00003F4B" w:rsidRDefault="00003F4B" w:rsidP="00267898">
            <w:pPr>
              <w:spacing w:before="20"/>
              <w:ind w:left="-60" w:right="-60"/>
              <w:jc w:val="center"/>
              <w:rPr>
                <w:sz w:val="22"/>
              </w:rPr>
            </w:pPr>
          </w:p>
          <w:p w:rsidR="00003F4B" w:rsidRDefault="00003F4B" w:rsidP="00267898">
            <w:pPr>
              <w:spacing w:before="20"/>
              <w:ind w:left="-60" w:right="-60"/>
              <w:jc w:val="center"/>
              <w:rPr>
                <w:sz w:val="22"/>
              </w:rPr>
            </w:pPr>
          </w:p>
          <w:p w:rsidR="009572E3" w:rsidRDefault="009572E3" w:rsidP="00267898">
            <w:pPr>
              <w:spacing w:before="20"/>
              <w:ind w:left="-60" w:right="-60"/>
              <w:jc w:val="center"/>
              <w:rPr>
                <w:sz w:val="22"/>
              </w:rPr>
            </w:pPr>
            <w:r>
              <w:rPr>
                <w:noProof/>
              </w:rPr>
              <w:drawing>
                <wp:inline distT="0" distB="0" distL="0" distR="0" wp14:anchorId="28D3B0D4" wp14:editId="5C3384D0">
                  <wp:extent cx="5219700" cy="244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2211" cy="2452289"/>
                          </a:xfrm>
                          <a:prstGeom prst="rect">
                            <a:avLst/>
                          </a:prstGeom>
                        </pic:spPr>
                      </pic:pic>
                    </a:graphicData>
                  </a:graphic>
                </wp:inline>
              </w:drawing>
            </w:r>
          </w:p>
          <w:p w:rsidR="009572E3" w:rsidRDefault="009572E3" w:rsidP="00267898">
            <w:pPr>
              <w:spacing w:before="20"/>
              <w:ind w:left="-60" w:right="-60"/>
              <w:jc w:val="center"/>
              <w:rPr>
                <w:sz w:val="22"/>
              </w:rPr>
            </w:pPr>
          </w:p>
          <w:p w:rsidR="00CB1241" w:rsidRPr="00003F4B" w:rsidRDefault="009572E3" w:rsidP="00267898">
            <w:pPr>
              <w:spacing w:before="20"/>
              <w:ind w:left="-60" w:right="-60"/>
              <w:jc w:val="center"/>
              <w:rPr>
                <w:b/>
                <w:sz w:val="22"/>
              </w:rPr>
            </w:pPr>
            <w:r w:rsidRPr="00003F4B">
              <w:rPr>
                <w:b/>
                <w:sz w:val="22"/>
              </w:rPr>
              <w:t>Special Baseplate Post (W-beam)</w:t>
            </w:r>
          </w:p>
          <w:p w:rsidR="00FD743F" w:rsidRDefault="00FD743F" w:rsidP="00C65E15">
            <w:pPr>
              <w:spacing w:before="20"/>
              <w:ind w:left="-60" w:right="-60"/>
              <w:rPr>
                <w:sz w:val="22"/>
              </w:rPr>
            </w:pPr>
          </w:p>
          <w:p w:rsidR="009572E3" w:rsidRDefault="00CF3E82" w:rsidP="00003F4B">
            <w:pPr>
              <w:spacing w:before="20"/>
              <w:ind w:left="-60" w:right="-60"/>
              <w:rPr>
                <w:sz w:val="22"/>
              </w:rPr>
            </w:pPr>
            <w:r>
              <w:rPr>
                <w:sz w:val="22"/>
              </w:rPr>
              <w:t xml:space="preserve">Part 2) – Development of Equivalent Special Baseplate Post to Standard Buried Post: </w:t>
            </w:r>
            <w:r w:rsidR="009572E3">
              <w:rPr>
                <w:sz w:val="22"/>
              </w:rPr>
              <w:t xml:space="preserve">Below </w:t>
            </w:r>
            <w:r>
              <w:rPr>
                <w:sz w:val="22"/>
              </w:rPr>
              <w:t>is a concept drawing for a rear-</w:t>
            </w:r>
            <w:r w:rsidR="009572E3">
              <w:rPr>
                <w:sz w:val="22"/>
              </w:rPr>
              <w:t>anchor</w:t>
            </w:r>
            <w:r>
              <w:rPr>
                <w:sz w:val="22"/>
              </w:rPr>
              <w:t>age</w:t>
            </w:r>
            <w:r w:rsidR="009572E3">
              <w:rPr>
                <w:sz w:val="22"/>
              </w:rPr>
              <w:t xml:space="preserve"> baseplate post, which would all</w:t>
            </w:r>
            <w:r>
              <w:rPr>
                <w:sz w:val="22"/>
              </w:rPr>
              <w:t>ow</w:t>
            </w:r>
            <w:r w:rsidR="009572E3">
              <w:rPr>
                <w:sz w:val="22"/>
              </w:rPr>
              <w:t xml:space="preserve"> the post to rotate similar to a standard buried post.  </w:t>
            </w:r>
            <w:r>
              <w:rPr>
                <w:sz w:val="22"/>
              </w:rPr>
              <w:t xml:space="preserve">Research may also consider a modified breakaway steel post </w:t>
            </w:r>
            <w:r w:rsidR="00FF0F29">
              <w:rPr>
                <w:sz w:val="22"/>
              </w:rPr>
              <w:t>(</w:t>
            </w:r>
            <w:proofErr w:type="spellStart"/>
            <w:r w:rsidR="00FF0F29" w:rsidRPr="00003F4B">
              <w:rPr>
                <w:i/>
                <w:sz w:val="22"/>
              </w:rPr>
              <w:t>MwRSF</w:t>
            </w:r>
            <w:proofErr w:type="spellEnd"/>
            <w:r w:rsidR="00FF0F29" w:rsidRPr="00003F4B">
              <w:rPr>
                <w:i/>
                <w:sz w:val="22"/>
              </w:rPr>
              <w:t>, TRB Paper No. 12-3604</w:t>
            </w:r>
            <w:r w:rsidR="00FF0F29">
              <w:rPr>
                <w:sz w:val="22"/>
              </w:rPr>
              <w:t>) with a primary baseplate anchorage in-lieu of a buried component</w:t>
            </w:r>
            <w:r w:rsidR="00003F4B">
              <w:rPr>
                <w:sz w:val="22"/>
              </w:rPr>
              <w:t xml:space="preserve"> (see detail below for:</w:t>
            </w:r>
            <w:r w:rsidR="00003F4B">
              <w:t xml:space="preserve"> </w:t>
            </w:r>
            <w:r w:rsidR="00003F4B" w:rsidRPr="00003F4B">
              <w:rPr>
                <w:i/>
                <w:sz w:val="22"/>
              </w:rPr>
              <w:t>Universal Breakaway Steel Post for the Bullnose Median Barrier</w:t>
            </w:r>
            <w:r w:rsidR="00003F4B">
              <w:rPr>
                <w:sz w:val="22"/>
              </w:rPr>
              <w:t>)</w:t>
            </w:r>
            <w:r w:rsidR="00FF0F29">
              <w:rPr>
                <w:sz w:val="22"/>
              </w:rPr>
              <w:t xml:space="preserve">.  </w:t>
            </w:r>
            <w:r w:rsidR="00003F4B">
              <w:rPr>
                <w:sz w:val="22"/>
              </w:rPr>
              <w:t xml:space="preserve">Consideration should also be given to a post-to-baseplate connection which utilizes a shear/fusion </w:t>
            </w:r>
            <w:r w:rsidR="00003F4B">
              <w:rPr>
                <w:sz w:val="22"/>
              </w:rPr>
              <w:lastRenderedPageBreak/>
              <w:t>plate similar to ground mounted sign structure (example detail shown below)</w:t>
            </w:r>
            <w:r w:rsidR="007B5913">
              <w:rPr>
                <w:sz w:val="22"/>
              </w:rPr>
              <w:t>.</w:t>
            </w:r>
          </w:p>
          <w:p w:rsidR="00003F4B" w:rsidRDefault="00003F4B" w:rsidP="00C65E15">
            <w:pPr>
              <w:spacing w:before="20"/>
              <w:ind w:left="-60" w:right="-60"/>
              <w:rPr>
                <w:sz w:val="22"/>
              </w:rPr>
            </w:pPr>
          </w:p>
          <w:p w:rsidR="00003F4B" w:rsidRDefault="00003F4B" w:rsidP="00C65E15">
            <w:pPr>
              <w:spacing w:before="20"/>
              <w:ind w:left="-60" w:right="-60"/>
              <w:rPr>
                <w:sz w:val="22"/>
              </w:rPr>
            </w:pPr>
          </w:p>
          <w:p w:rsidR="00003F4B" w:rsidRDefault="00003F4B" w:rsidP="00C65E15">
            <w:pPr>
              <w:spacing w:before="20"/>
              <w:ind w:left="-60" w:right="-60"/>
              <w:rPr>
                <w:sz w:val="22"/>
              </w:rPr>
            </w:pPr>
          </w:p>
          <w:p w:rsidR="00003F4B" w:rsidRDefault="00003F4B" w:rsidP="00C65E15">
            <w:pPr>
              <w:spacing w:before="20"/>
              <w:ind w:left="-60" w:right="-60"/>
              <w:rPr>
                <w:sz w:val="22"/>
              </w:rPr>
            </w:pPr>
          </w:p>
          <w:p w:rsidR="00FD743F" w:rsidRDefault="00FD743F" w:rsidP="00FD743F">
            <w:pPr>
              <w:spacing w:before="20"/>
              <w:ind w:left="-60" w:right="-60"/>
              <w:jc w:val="center"/>
              <w:rPr>
                <w:sz w:val="22"/>
              </w:rPr>
            </w:pPr>
            <w:r>
              <w:rPr>
                <w:noProof/>
              </w:rPr>
              <w:drawing>
                <wp:inline distT="0" distB="0" distL="0" distR="0" wp14:anchorId="3F7B0A8F" wp14:editId="6E50F879">
                  <wp:extent cx="4762186" cy="2857500"/>
                  <wp:effectExtent l="0" t="0" r="635" b="0"/>
                  <wp:docPr id="2" name="Picture 2" descr="cid:image002.jpg@01D0E704.4034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0E704.4034C53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b="20085"/>
                          <a:stretch/>
                        </pic:blipFill>
                        <pic:spPr bwMode="auto">
                          <a:xfrm>
                            <a:off x="0" y="0"/>
                            <a:ext cx="4775340" cy="2865393"/>
                          </a:xfrm>
                          <a:prstGeom prst="rect">
                            <a:avLst/>
                          </a:prstGeom>
                          <a:noFill/>
                          <a:ln>
                            <a:noFill/>
                          </a:ln>
                          <a:extLst>
                            <a:ext uri="{53640926-AAD7-44D8-BBD7-CCE9431645EC}">
                              <a14:shadowObscured xmlns:a14="http://schemas.microsoft.com/office/drawing/2010/main"/>
                            </a:ext>
                          </a:extLst>
                        </pic:spPr>
                      </pic:pic>
                    </a:graphicData>
                  </a:graphic>
                </wp:inline>
              </w:drawing>
            </w:r>
          </w:p>
          <w:p w:rsidR="009572E3" w:rsidRPr="00003F4B" w:rsidRDefault="009572E3" w:rsidP="00FD743F">
            <w:pPr>
              <w:spacing w:before="20"/>
              <w:ind w:left="-60" w:right="-60"/>
              <w:jc w:val="center"/>
              <w:rPr>
                <w:b/>
                <w:sz w:val="22"/>
              </w:rPr>
            </w:pPr>
            <w:r w:rsidRPr="00003F4B">
              <w:rPr>
                <w:b/>
                <w:sz w:val="22"/>
              </w:rPr>
              <w:t>Special Baseplate Concept (Rear Anchorage)</w:t>
            </w:r>
          </w:p>
          <w:p w:rsidR="00003F4B" w:rsidRDefault="00003F4B" w:rsidP="00FD743F">
            <w:pPr>
              <w:spacing w:before="20"/>
              <w:ind w:left="-60" w:right="-60"/>
              <w:jc w:val="center"/>
              <w:rPr>
                <w:sz w:val="22"/>
              </w:rPr>
            </w:pPr>
          </w:p>
          <w:p w:rsidR="00003F4B" w:rsidRDefault="00003F4B" w:rsidP="00FD743F">
            <w:pPr>
              <w:spacing w:before="20"/>
              <w:ind w:left="-60" w:right="-60"/>
              <w:jc w:val="center"/>
              <w:rPr>
                <w:sz w:val="22"/>
              </w:rPr>
            </w:pPr>
          </w:p>
          <w:p w:rsidR="009572E3" w:rsidRDefault="00CF3E82" w:rsidP="00FD743F">
            <w:pPr>
              <w:spacing w:before="20"/>
              <w:ind w:left="-60" w:right="-60"/>
              <w:jc w:val="center"/>
              <w:rPr>
                <w:sz w:val="22"/>
              </w:rPr>
            </w:pPr>
            <w:r>
              <w:rPr>
                <w:noProof/>
              </w:rPr>
              <w:drawing>
                <wp:inline distT="0" distB="0" distL="0" distR="0" wp14:anchorId="335922B5" wp14:editId="7D95510B">
                  <wp:extent cx="4678680" cy="3399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7710" cy="3405886"/>
                          </a:xfrm>
                          <a:prstGeom prst="rect">
                            <a:avLst/>
                          </a:prstGeom>
                        </pic:spPr>
                      </pic:pic>
                    </a:graphicData>
                  </a:graphic>
                </wp:inline>
              </w:drawing>
            </w:r>
          </w:p>
          <w:p w:rsidR="00FF0F29" w:rsidRPr="00003F4B" w:rsidRDefault="00FF0F29" w:rsidP="00FF0F29">
            <w:pPr>
              <w:spacing w:before="20"/>
              <w:ind w:left="-60" w:right="-60"/>
              <w:jc w:val="center"/>
              <w:rPr>
                <w:b/>
                <w:sz w:val="22"/>
              </w:rPr>
            </w:pPr>
            <w:r w:rsidRPr="00003F4B">
              <w:rPr>
                <w:b/>
                <w:sz w:val="22"/>
              </w:rPr>
              <w:t>Universal Breakaway Steel Post</w:t>
            </w:r>
          </w:p>
          <w:p w:rsidR="00FF0F29" w:rsidRPr="00003F4B" w:rsidRDefault="00FF0F29" w:rsidP="00FF0F29">
            <w:pPr>
              <w:spacing w:before="20"/>
              <w:ind w:left="-60" w:right="-60"/>
              <w:jc w:val="center"/>
              <w:rPr>
                <w:b/>
                <w:sz w:val="22"/>
              </w:rPr>
            </w:pPr>
            <w:r w:rsidRPr="00003F4B">
              <w:rPr>
                <w:b/>
                <w:sz w:val="22"/>
              </w:rPr>
              <w:t>for the Bullnose Median Barrier</w:t>
            </w:r>
            <w:r w:rsidR="00003F4B" w:rsidRPr="00003F4B">
              <w:rPr>
                <w:b/>
                <w:sz w:val="22"/>
              </w:rPr>
              <w:t xml:space="preserve"> (TRB 12-3604)</w:t>
            </w:r>
          </w:p>
          <w:p w:rsidR="009572E3" w:rsidRDefault="009572E3" w:rsidP="00FD743F">
            <w:pPr>
              <w:spacing w:before="20"/>
              <w:ind w:left="-60" w:right="-60"/>
              <w:jc w:val="center"/>
              <w:rPr>
                <w:sz w:val="22"/>
              </w:rPr>
            </w:pPr>
          </w:p>
          <w:p w:rsidR="00003F4B" w:rsidRDefault="00003F4B" w:rsidP="00FD743F">
            <w:pPr>
              <w:spacing w:before="20"/>
              <w:ind w:left="-60" w:right="-60"/>
              <w:jc w:val="center"/>
              <w:rPr>
                <w:sz w:val="22"/>
              </w:rPr>
            </w:pPr>
            <w:bookmarkStart w:id="0" w:name="_GoBack"/>
            <w:bookmarkEnd w:id="0"/>
          </w:p>
          <w:p w:rsidR="00003F4B" w:rsidRDefault="00003F4B" w:rsidP="00FD743F">
            <w:pPr>
              <w:spacing w:before="20"/>
              <w:ind w:left="-60" w:right="-60"/>
              <w:jc w:val="center"/>
              <w:rPr>
                <w:sz w:val="22"/>
              </w:rPr>
            </w:pPr>
            <w:r>
              <w:rPr>
                <w:noProof/>
              </w:rPr>
              <w:drawing>
                <wp:inline distT="0" distB="0" distL="0" distR="0" wp14:anchorId="64530449" wp14:editId="5FD856EF">
                  <wp:extent cx="4008467" cy="55097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8467" cy="5509737"/>
                          </a:xfrm>
                          <a:prstGeom prst="rect">
                            <a:avLst/>
                          </a:prstGeom>
                        </pic:spPr>
                      </pic:pic>
                    </a:graphicData>
                  </a:graphic>
                </wp:inline>
              </w:drawing>
            </w:r>
          </w:p>
          <w:p w:rsidR="009572E3" w:rsidRDefault="009572E3" w:rsidP="00003F4B">
            <w:pPr>
              <w:spacing w:before="20"/>
              <w:ind w:right="-60"/>
              <w:rPr>
                <w:sz w:val="22"/>
              </w:rPr>
            </w:pPr>
          </w:p>
          <w:p w:rsidR="009572E3" w:rsidRPr="00003F4B" w:rsidRDefault="00003F4B" w:rsidP="00FD743F">
            <w:pPr>
              <w:spacing w:before="20"/>
              <w:ind w:left="-60" w:right="-60"/>
              <w:jc w:val="center"/>
              <w:rPr>
                <w:b/>
                <w:sz w:val="22"/>
              </w:rPr>
            </w:pPr>
            <w:r w:rsidRPr="00003F4B">
              <w:rPr>
                <w:b/>
                <w:sz w:val="22"/>
              </w:rPr>
              <w:t>Fuse/Hinge Plates (Multi-Column Ground Signs)</w:t>
            </w:r>
          </w:p>
          <w:p w:rsidR="009572E3" w:rsidRDefault="009572E3" w:rsidP="00FD743F">
            <w:pPr>
              <w:spacing w:before="20"/>
              <w:ind w:left="-60" w:right="-60"/>
              <w:jc w:val="center"/>
              <w:rPr>
                <w:sz w:val="22"/>
              </w:rPr>
            </w:pPr>
          </w:p>
          <w:p w:rsidR="00003F4B" w:rsidRDefault="00003F4B" w:rsidP="00FD743F">
            <w:pPr>
              <w:spacing w:before="20"/>
              <w:ind w:left="-60" w:right="-60"/>
              <w:jc w:val="center"/>
              <w:rPr>
                <w:sz w:val="22"/>
              </w:rPr>
            </w:pPr>
          </w:p>
          <w:p w:rsidR="00003F4B" w:rsidRDefault="00003F4B" w:rsidP="00003F4B">
            <w:pPr>
              <w:spacing w:before="20"/>
              <w:ind w:right="-60"/>
              <w:rPr>
                <w:sz w:val="22"/>
              </w:rPr>
            </w:pPr>
          </w:p>
          <w:p w:rsidR="009572E3" w:rsidRDefault="009572E3" w:rsidP="009572E3">
            <w:pPr>
              <w:spacing w:before="20"/>
              <w:ind w:left="-60" w:right="-60"/>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lastRenderedPageBreak/>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E1663A" w:rsidP="00027C26">
            <w:pPr>
              <w:spacing w:before="120"/>
              <w:ind w:left="-60" w:right="-60"/>
              <w:jc w:val="center"/>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5F11C2" w:rsidP="007B6779">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E1663A">
            <w:pPr>
              <w:spacing w:before="120"/>
              <w:ind w:left="-60" w:right="-60"/>
              <w:jc w:val="center"/>
              <w:rPr>
                <w:sz w:val="22"/>
              </w:rPr>
            </w:pPr>
          </w:p>
        </w:tc>
      </w:tr>
    </w:tbl>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03F4B"/>
    <w:rsid w:val="00014D24"/>
    <w:rsid w:val="00027C26"/>
    <w:rsid w:val="00033631"/>
    <w:rsid w:val="000614CE"/>
    <w:rsid w:val="00067C26"/>
    <w:rsid w:val="00096B1F"/>
    <w:rsid w:val="000C2EF1"/>
    <w:rsid w:val="00112819"/>
    <w:rsid w:val="001E0A4F"/>
    <w:rsid w:val="001F2C14"/>
    <w:rsid w:val="00267898"/>
    <w:rsid w:val="002868C5"/>
    <w:rsid w:val="002F6FDC"/>
    <w:rsid w:val="00307A5C"/>
    <w:rsid w:val="00325709"/>
    <w:rsid w:val="0034439B"/>
    <w:rsid w:val="003D7B7F"/>
    <w:rsid w:val="003F7056"/>
    <w:rsid w:val="004436E5"/>
    <w:rsid w:val="00456DEE"/>
    <w:rsid w:val="004964F6"/>
    <w:rsid w:val="004E2005"/>
    <w:rsid w:val="00560786"/>
    <w:rsid w:val="00561A52"/>
    <w:rsid w:val="0058089D"/>
    <w:rsid w:val="005B56F7"/>
    <w:rsid w:val="005C334B"/>
    <w:rsid w:val="005E17E2"/>
    <w:rsid w:val="005F11C2"/>
    <w:rsid w:val="00667596"/>
    <w:rsid w:val="00672A2C"/>
    <w:rsid w:val="006A20E1"/>
    <w:rsid w:val="006A5825"/>
    <w:rsid w:val="006B6BD8"/>
    <w:rsid w:val="00700EC0"/>
    <w:rsid w:val="00736470"/>
    <w:rsid w:val="007519FF"/>
    <w:rsid w:val="00765A25"/>
    <w:rsid w:val="00781BB9"/>
    <w:rsid w:val="007A7EFD"/>
    <w:rsid w:val="007B2411"/>
    <w:rsid w:val="007B5913"/>
    <w:rsid w:val="007B6779"/>
    <w:rsid w:val="007C2C55"/>
    <w:rsid w:val="00801159"/>
    <w:rsid w:val="00905FC6"/>
    <w:rsid w:val="009503BC"/>
    <w:rsid w:val="009572E3"/>
    <w:rsid w:val="00961197"/>
    <w:rsid w:val="009B087E"/>
    <w:rsid w:val="009C468F"/>
    <w:rsid w:val="009E6237"/>
    <w:rsid w:val="00A12002"/>
    <w:rsid w:val="00AB55FF"/>
    <w:rsid w:val="00AF741D"/>
    <w:rsid w:val="00B22090"/>
    <w:rsid w:val="00B36C59"/>
    <w:rsid w:val="00B4012E"/>
    <w:rsid w:val="00B77A6F"/>
    <w:rsid w:val="00B8345D"/>
    <w:rsid w:val="00B87EB5"/>
    <w:rsid w:val="00BB62F3"/>
    <w:rsid w:val="00BE5107"/>
    <w:rsid w:val="00C65E15"/>
    <w:rsid w:val="00C90A62"/>
    <w:rsid w:val="00C94C53"/>
    <w:rsid w:val="00CB1241"/>
    <w:rsid w:val="00CC6BD7"/>
    <w:rsid w:val="00CD2768"/>
    <w:rsid w:val="00CE7AFD"/>
    <w:rsid w:val="00CF3E82"/>
    <w:rsid w:val="00D368C1"/>
    <w:rsid w:val="00D55EBA"/>
    <w:rsid w:val="00D73759"/>
    <w:rsid w:val="00D95103"/>
    <w:rsid w:val="00DD36DB"/>
    <w:rsid w:val="00DF05F5"/>
    <w:rsid w:val="00DF58ED"/>
    <w:rsid w:val="00E1663A"/>
    <w:rsid w:val="00E43154"/>
    <w:rsid w:val="00E80036"/>
    <w:rsid w:val="00E87730"/>
    <w:rsid w:val="00F041B7"/>
    <w:rsid w:val="00F72719"/>
    <w:rsid w:val="00FB0BC4"/>
    <w:rsid w:val="00FB1E14"/>
    <w:rsid w:val="00FD743F"/>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character" w:styleId="Hyperlink">
    <w:name w:val="Hyperlink"/>
    <w:basedOn w:val="DefaultParagraphFont"/>
    <w:unhideWhenUsed/>
    <w:rsid w:val="003D7B7F"/>
    <w:rPr>
      <w:color w:val="0000FF" w:themeColor="hyperlink"/>
      <w:u w:val="single"/>
    </w:rPr>
  </w:style>
  <w:style w:type="character" w:styleId="FollowedHyperlink">
    <w:name w:val="FollowedHyperlink"/>
    <w:basedOn w:val="DefaultParagraphFont"/>
    <w:semiHidden/>
    <w:unhideWhenUsed/>
    <w:rsid w:val="009B08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character" w:styleId="Hyperlink">
    <w:name w:val="Hyperlink"/>
    <w:basedOn w:val="DefaultParagraphFont"/>
    <w:unhideWhenUsed/>
    <w:rsid w:val="003D7B7F"/>
    <w:rPr>
      <w:color w:val="0000FF" w:themeColor="hyperlink"/>
      <w:u w:val="single"/>
    </w:rPr>
  </w:style>
  <w:style w:type="character" w:styleId="FollowedHyperlink">
    <w:name w:val="FollowedHyperlink"/>
    <w:basedOn w:val="DefaultParagraphFont"/>
    <w:semiHidden/>
    <w:unhideWhenUsed/>
    <w:rsid w:val="009B0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ftp.dot.state.tx.us/pub/txdot-info/cmd/cserve/standard/bridge/rlstd038.pdf" TargetMode="External"/><Relationship Id="rId10" Type="http://schemas.openxmlformats.org/officeDocument/2006/relationships/image" Target="cid:image002.jpg@01D0E704.4034C53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4</Pages>
  <Words>503</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subject/>
  <dc:creator>dor9032</dc:creator>
  <cp:keywords/>
  <dc:description/>
  <cp:lastModifiedBy>Heck, Rebecca</cp:lastModifiedBy>
  <cp:revision>10</cp:revision>
  <cp:lastPrinted>2015-09-18T19:50:00Z</cp:lastPrinted>
  <dcterms:created xsi:type="dcterms:W3CDTF">2015-09-01T19:29:00Z</dcterms:created>
  <dcterms:modified xsi:type="dcterms:W3CDTF">2015-09-18T19:50:00Z</dcterms:modified>
</cp:coreProperties>
</file>