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06" w:tblpY="-34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4860"/>
      </w:tblGrid>
      <w:tr w:rsidR="00E1663A" w:rsidTr="00B4012E">
        <w:trPr>
          <w:cantSplit/>
          <w:trHeight w:val="740"/>
        </w:trPr>
        <w:tc>
          <w:tcPr>
            <w:tcW w:w="5508" w:type="dxa"/>
            <w:tcBorders>
              <w:top w:val="nil"/>
              <w:left w:val="nil"/>
              <w:bottom w:val="nil"/>
            </w:tcBorders>
          </w:tcPr>
          <w:p w:rsidR="00E1663A" w:rsidRDefault="00E1663A">
            <w:pPr>
              <w:pStyle w:val="Heading1"/>
              <w:jc w:val="center"/>
              <w:rPr>
                <w:rFonts w:ascii="Arial" w:hAnsi="Arial" w:cs="Arial"/>
                <w:b/>
                <w:bCs/>
              </w:rPr>
            </w:pPr>
            <w:r>
              <w:rPr>
                <w:rFonts w:ascii="Arial" w:hAnsi="Arial" w:cs="Arial"/>
                <w:b/>
                <w:bCs/>
              </w:rPr>
              <w:t>Roadside Safety Pooled Fund Program</w:t>
            </w:r>
          </w:p>
          <w:p w:rsidR="00E1663A" w:rsidRDefault="00E1663A">
            <w:pPr>
              <w:spacing w:before="20"/>
              <w:ind w:left="-60" w:right="-60"/>
              <w:jc w:val="center"/>
              <w:rPr>
                <w:b/>
                <w:sz w:val="28"/>
              </w:rPr>
            </w:pPr>
            <w:r>
              <w:rPr>
                <w:b/>
                <w:sz w:val="28"/>
              </w:rPr>
              <w:t>Problem Statement/Research Proposal</w:t>
            </w:r>
          </w:p>
        </w:tc>
        <w:tc>
          <w:tcPr>
            <w:tcW w:w="4860" w:type="dxa"/>
          </w:tcPr>
          <w:p w:rsidR="00E1663A" w:rsidRDefault="00E1663A">
            <w:pPr>
              <w:spacing w:before="20"/>
              <w:ind w:left="-60" w:right="-60"/>
              <w:rPr>
                <w:sz w:val="16"/>
              </w:rPr>
            </w:pPr>
            <w:r>
              <w:rPr>
                <w:sz w:val="16"/>
              </w:rPr>
              <w:t>State:</w:t>
            </w:r>
          </w:p>
          <w:p w:rsidR="00E1663A" w:rsidRDefault="0050134F" w:rsidP="002D238B">
            <w:pPr>
              <w:spacing w:before="120"/>
              <w:ind w:left="-60" w:right="-60"/>
              <w:jc w:val="center"/>
              <w:rPr>
                <w:sz w:val="22"/>
              </w:rPr>
            </w:pPr>
            <w:r>
              <w:rPr>
                <w:sz w:val="22"/>
              </w:rPr>
              <w:t>Tennessee-Minnesota</w:t>
            </w:r>
            <w:r w:rsidR="00C46696">
              <w:rPr>
                <w:sz w:val="22"/>
              </w:rPr>
              <w:t xml:space="preserve"> 201</w:t>
            </w:r>
            <w:r w:rsidR="0020652F">
              <w:rPr>
                <w:sz w:val="22"/>
              </w:rPr>
              <w:t>5</w:t>
            </w:r>
            <w:r w:rsidR="00AA57AC">
              <w:rPr>
                <w:sz w:val="22"/>
              </w:rPr>
              <w:t xml:space="preserve"> – </w:t>
            </w:r>
            <w:r>
              <w:rPr>
                <w:b/>
                <w:sz w:val="22"/>
              </w:rPr>
              <w:t xml:space="preserve">TN-MN </w:t>
            </w:r>
            <w:r w:rsidR="002D238B">
              <w:rPr>
                <w:b/>
                <w:sz w:val="22"/>
              </w:rPr>
              <w:t>80</w:t>
            </w:r>
            <w:bookmarkStart w:id="0" w:name="_GoBack"/>
            <w:bookmarkEnd w:id="0"/>
          </w:p>
        </w:tc>
      </w:tr>
      <w:tr w:rsidR="00E1663A" w:rsidTr="00B4012E">
        <w:trPr>
          <w:cantSplit/>
          <w:trHeight w:hRule="exact" w:val="720"/>
        </w:trPr>
        <w:tc>
          <w:tcPr>
            <w:tcW w:w="10368" w:type="dxa"/>
            <w:gridSpan w:val="2"/>
            <w:tcBorders>
              <w:top w:val="single" w:sz="4" w:space="0" w:color="auto"/>
              <w:left w:val="single" w:sz="4" w:space="0" w:color="auto"/>
              <w:bottom w:val="single" w:sz="4" w:space="0" w:color="auto"/>
            </w:tcBorders>
          </w:tcPr>
          <w:p w:rsidR="00E1663A" w:rsidRDefault="00E1663A">
            <w:pPr>
              <w:spacing w:before="20"/>
              <w:ind w:left="-60" w:right="-60"/>
              <w:rPr>
                <w:sz w:val="16"/>
              </w:rPr>
            </w:pPr>
            <w:r>
              <w:rPr>
                <w:sz w:val="16"/>
              </w:rPr>
              <w:t>Title:</w:t>
            </w:r>
          </w:p>
          <w:p w:rsidR="00E1663A" w:rsidRDefault="00EB399A" w:rsidP="00130F4A">
            <w:pPr>
              <w:spacing w:before="20"/>
              <w:ind w:left="-60" w:right="-60"/>
              <w:jc w:val="center"/>
              <w:rPr>
                <w:sz w:val="22"/>
              </w:rPr>
            </w:pPr>
            <w:r w:rsidRPr="00EB399A">
              <w:rPr>
                <w:sz w:val="22"/>
              </w:rPr>
              <w:t>Guidance for Raising Beam Guardrail Blockout</w:t>
            </w:r>
            <w:r w:rsidR="00912890">
              <w:rPr>
                <w:sz w:val="22"/>
              </w:rPr>
              <w:t xml:space="preserve"> for Rail Height Adjustment</w:t>
            </w:r>
            <w:r>
              <w:rPr>
                <w:sz w:val="22"/>
              </w:rPr>
              <w:t xml:space="preserve"> </w:t>
            </w:r>
          </w:p>
        </w:tc>
      </w:tr>
      <w:tr w:rsidR="00E1663A" w:rsidRPr="00027C26" w:rsidTr="00B6160C">
        <w:trPr>
          <w:cantSplit/>
          <w:trHeight w:hRule="exact" w:val="7267"/>
        </w:trPr>
        <w:tc>
          <w:tcPr>
            <w:tcW w:w="10368" w:type="dxa"/>
            <w:gridSpan w:val="2"/>
            <w:tcBorders>
              <w:top w:val="single" w:sz="4" w:space="0" w:color="auto"/>
              <w:left w:val="single" w:sz="4" w:space="0" w:color="auto"/>
              <w:bottom w:val="single" w:sz="4" w:space="0" w:color="auto"/>
            </w:tcBorders>
          </w:tcPr>
          <w:p w:rsidR="00E1663A" w:rsidRPr="00027C26" w:rsidRDefault="00E1663A">
            <w:pPr>
              <w:spacing w:before="20"/>
              <w:ind w:left="-60" w:right="-60"/>
              <w:rPr>
                <w:sz w:val="16"/>
              </w:rPr>
            </w:pPr>
            <w:r w:rsidRPr="00027C26">
              <w:rPr>
                <w:sz w:val="16"/>
              </w:rPr>
              <w:t xml:space="preserve">Problem Statement: </w:t>
            </w:r>
          </w:p>
          <w:p w:rsidR="00F92555" w:rsidRPr="00F92555" w:rsidRDefault="00F92555" w:rsidP="00F92555">
            <w:pPr>
              <w:spacing w:before="20"/>
              <w:ind w:left="-60" w:right="-60"/>
              <w:rPr>
                <w:sz w:val="22"/>
              </w:rPr>
            </w:pPr>
            <w:r w:rsidRPr="00F92555">
              <w:rPr>
                <w:sz w:val="22"/>
              </w:rPr>
              <w:t xml:space="preserve">With recent changes/clarifications about appropriate height for beam guardrail, there are more and more existing locations identified where rail height is below the recommended heights.  Pavement overlays create additional locations where this occurs.  Raising blockout on the post is </w:t>
            </w:r>
            <w:r w:rsidR="002B4450">
              <w:rPr>
                <w:sz w:val="22"/>
              </w:rPr>
              <w:t>a low cost safety</w:t>
            </w:r>
            <w:r w:rsidRPr="00F92555">
              <w:rPr>
                <w:sz w:val="22"/>
              </w:rPr>
              <w:t xml:space="preserve"> means to adjust the rail </w:t>
            </w:r>
            <w:r w:rsidR="002B4450" w:rsidRPr="00F92555">
              <w:rPr>
                <w:sz w:val="22"/>
              </w:rPr>
              <w:t>height;</w:t>
            </w:r>
            <w:r w:rsidRPr="00F92555">
              <w:rPr>
                <w:sz w:val="22"/>
              </w:rPr>
              <w:t xml:space="preserve"> however there </w:t>
            </w:r>
            <w:r>
              <w:rPr>
                <w:sz w:val="22"/>
              </w:rPr>
              <w:t>is still some</w:t>
            </w:r>
            <w:r w:rsidRPr="00F92555">
              <w:rPr>
                <w:sz w:val="22"/>
              </w:rPr>
              <w:t xml:space="preserve"> </w:t>
            </w:r>
            <w:r>
              <w:rPr>
                <w:sz w:val="22"/>
              </w:rPr>
              <w:t>un</w:t>
            </w:r>
            <w:r w:rsidRPr="00F92555">
              <w:rPr>
                <w:sz w:val="22"/>
              </w:rPr>
              <w:t xml:space="preserve">known </w:t>
            </w:r>
            <w:r>
              <w:rPr>
                <w:sz w:val="22"/>
              </w:rPr>
              <w:t>regarding how the rail system would perform when including use of composite blockouts</w:t>
            </w:r>
            <w:r w:rsidRPr="00F92555">
              <w:rPr>
                <w:sz w:val="22"/>
              </w:rPr>
              <w:t>.</w:t>
            </w:r>
            <w:r w:rsidRPr="00F92555">
              <w:rPr>
                <w:sz w:val="22"/>
              </w:rPr>
              <w:tab/>
            </w:r>
            <w:r>
              <w:rPr>
                <w:sz w:val="22"/>
              </w:rPr>
              <w:t xml:space="preserve"> </w:t>
            </w:r>
          </w:p>
          <w:p w:rsidR="00D21BBD" w:rsidRDefault="00F92555" w:rsidP="00F92555">
            <w:pPr>
              <w:spacing w:before="20"/>
              <w:ind w:left="-60" w:right="-60"/>
              <w:rPr>
                <w:sz w:val="22"/>
              </w:rPr>
            </w:pPr>
            <w:r w:rsidRPr="00F92555">
              <w:rPr>
                <w:sz w:val="22"/>
              </w:rPr>
              <w:t xml:space="preserve">The purpose of this research is to analyze </w:t>
            </w:r>
            <w:r>
              <w:rPr>
                <w:sz w:val="22"/>
              </w:rPr>
              <w:t>steel</w:t>
            </w:r>
            <w:r w:rsidRPr="00F92555">
              <w:rPr>
                <w:sz w:val="22"/>
              </w:rPr>
              <w:t xml:space="preserve"> </w:t>
            </w:r>
            <w:r w:rsidR="00473BE9">
              <w:rPr>
                <w:sz w:val="22"/>
              </w:rPr>
              <w:t xml:space="preserve">and </w:t>
            </w:r>
            <w:r w:rsidRPr="00F92555">
              <w:rPr>
                <w:sz w:val="22"/>
              </w:rPr>
              <w:t xml:space="preserve">posts W-beam rail performance when </w:t>
            </w:r>
            <w:r w:rsidR="00F3452E">
              <w:rPr>
                <w:sz w:val="22"/>
              </w:rPr>
              <w:t xml:space="preserve">composite </w:t>
            </w:r>
            <w:r w:rsidR="00F30B44">
              <w:rPr>
                <w:sz w:val="22"/>
              </w:rPr>
              <w:t xml:space="preserve">and </w:t>
            </w:r>
            <w:r w:rsidR="00F30B44" w:rsidRPr="00473BE9">
              <w:rPr>
                <w:sz w:val="22"/>
              </w:rPr>
              <w:t>wood</w:t>
            </w:r>
            <w:r w:rsidR="00F3452E">
              <w:rPr>
                <w:sz w:val="22"/>
              </w:rPr>
              <w:t xml:space="preserve"> </w:t>
            </w:r>
            <w:r w:rsidRPr="00F92555">
              <w:rPr>
                <w:sz w:val="22"/>
              </w:rPr>
              <w:t xml:space="preserve">blockouts are raised on the posts as a mean for adjusting rail height. </w:t>
            </w:r>
            <w:r w:rsidR="00473BE9">
              <w:rPr>
                <w:sz w:val="22"/>
              </w:rPr>
              <w:t xml:space="preserve">Specifically, this research will evaluate wood post/composite blockout, steel post/composite blockout, and </w:t>
            </w:r>
            <w:r w:rsidR="00473BE9" w:rsidRPr="00473BE9">
              <w:rPr>
                <w:sz w:val="22"/>
                <w:highlight w:val="yellow"/>
              </w:rPr>
              <w:t>steel post/wood blockout</w:t>
            </w:r>
            <w:r w:rsidR="00473BE9">
              <w:rPr>
                <w:sz w:val="22"/>
              </w:rPr>
              <w:t xml:space="preserve"> systems.</w:t>
            </w:r>
            <w:r w:rsidRPr="00F92555">
              <w:rPr>
                <w:sz w:val="22"/>
              </w:rPr>
              <w:t xml:space="preserve"> </w:t>
            </w:r>
            <w:r w:rsidR="00F3452E">
              <w:rPr>
                <w:sz w:val="22"/>
              </w:rPr>
              <w:t xml:space="preserve">Outcome of this study will complement any existing </w:t>
            </w:r>
            <w:r w:rsidRPr="00F92555">
              <w:rPr>
                <w:sz w:val="22"/>
              </w:rPr>
              <w:t>guideline regarding the procedure of raising blockouts mounting height on</w:t>
            </w:r>
            <w:r w:rsidR="00F3452E">
              <w:rPr>
                <w:sz w:val="22"/>
              </w:rPr>
              <w:t xml:space="preserve"> steel and </w:t>
            </w:r>
            <w:r w:rsidRPr="00F92555">
              <w:rPr>
                <w:sz w:val="22"/>
              </w:rPr>
              <w:t>wood posts to achieve recommended rail height for a W-beam guardrail</w:t>
            </w:r>
            <w:r w:rsidR="00F3452E">
              <w:rPr>
                <w:sz w:val="22"/>
              </w:rPr>
              <w:t xml:space="preserve">. </w:t>
            </w:r>
            <w:r w:rsidRPr="00F92555">
              <w:rPr>
                <w:sz w:val="22"/>
              </w:rPr>
              <w:t xml:space="preserve"> </w:t>
            </w:r>
          </w:p>
          <w:p w:rsidR="002B4450" w:rsidRDefault="002B4450" w:rsidP="00F92555">
            <w:pPr>
              <w:spacing w:before="20"/>
              <w:ind w:left="-60" w:right="-60"/>
              <w:rPr>
                <w:sz w:val="22"/>
              </w:rPr>
            </w:pPr>
            <w:r>
              <w:rPr>
                <w:sz w:val="22"/>
              </w:rPr>
              <w:t>C</w:t>
            </w:r>
            <w:r w:rsidRPr="002B4450">
              <w:rPr>
                <w:sz w:val="22"/>
              </w:rPr>
              <w:t>onstructability issues</w:t>
            </w:r>
            <w:r>
              <w:rPr>
                <w:sz w:val="22"/>
              </w:rPr>
              <w:t xml:space="preserve"> related to the possibility of raising blockouts will be addressed</w:t>
            </w:r>
            <w:r w:rsidRPr="002B4450">
              <w:rPr>
                <w:sz w:val="22"/>
              </w:rPr>
              <w:t xml:space="preserve"> </w:t>
            </w:r>
            <w:r>
              <w:rPr>
                <w:sz w:val="22"/>
              </w:rPr>
              <w:t>throughout this research study.</w:t>
            </w:r>
          </w:p>
          <w:p w:rsidR="00F92555" w:rsidRPr="00F92555" w:rsidRDefault="00F92555" w:rsidP="00F92555">
            <w:pPr>
              <w:spacing w:before="20"/>
              <w:ind w:left="-60" w:right="-60"/>
              <w:rPr>
                <w:sz w:val="22"/>
              </w:rPr>
            </w:pPr>
            <w:r w:rsidRPr="00F92555">
              <w:rPr>
                <w:sz w:val="22"/>
              </w:rPr>
              <w:t xml:space="preserve">The information compiled from this research will enable the Departments of Transportation to decide whether raising blockouts on the posts can be chosen as </w:t>
            </w:r>
            <w:r w:rsidR="002B4450">
              <w:rPr>
                <w:sz w:val="22"/>
              </w:rPr>
              <w:t xml:space="preserve">a low cost safety </w:t>
            </w:r>
            <w:r w:rsidRPr="00F92555">
              <w:rPr>
                <w:sz w:val="22"/>
              </w:rPr>
              <w:t xml:space="preserve">mean to adjust rail height when below recommended value, without compromising the rail system performance.  </w:t>
            </w:r>
          </w:p>
          <w:p w:rsidR="00883F39" w:rsidRDefault="00883F39" w:rsidP="00883F39">
            <w:pPr>
              <w:spacing w:before="20"/>
              <w:ind w:left="-60" w:right="-60"/>
              <w:rPr>
                <w:sz w:val="22"/>
              </w:rPr>
            </w:pPr>
          </w:p>
          <w:p w:rsidR="00883F39" w:rsidRPr="00027C26" w:rsidRDefault="00883F39" w:rsidP="00D21BBD">
            <w:pPr>
              <w:spacing w:before="20"/>
              <w:ind w:left="-60" w:right="-60"/>
              <w:rPr>
                <w:sz w:val="22"/>
              </w:rPr>
            </w:pPr>
          </w:p>
        </w:tc>
      </w:tr>
      <w:tr w:rsidR="00E1663A" w:rsidTr="00A26DBF">
        <w:trPr>
          <w:cantSplit/>
          <w:trHeight w:hRule="exact" w:val="1003"/>
        </w:trPr>
        <w:tc>
          <w:tcPr>
            <w:tcW w:w="10368" w:type="dxa"/>
            <w:gridSpan w:val="2"/>
            <w:tcBorders>
              <w:top w:val="single" w:sz="4" w:space="0" w:color="auto"/>
              <w:left w:val="single" w:sz="4" w:space="0" w:color="auto"/>
              <w:bottom w:val="single" w:sz="4" w:space="0" w:color="auto"/>
            </w:tcBorders>
          </w:tcPr>
          <w:p w:rsidR="00E1663A" w:rsidRDefault="00E1663A">
            <w:pPr>
              <w:spacing w:before="20"/>
              <w:ind w:left="-60" w:right="-60"/>
              <w:rPr>
                <w:sz w:val="16"/>
              </w:rPr>
            </w:pPr>
            <w:r>
              <w:rPr>
                <w:sz w:val="16"/>
              </w:rPr>
              <w:t>Objectives of the Study:</w:t>
            </w:r>
            <w:r w:rsidR="0034439B">
              <w:rPr>
                <w:sz w:val="16"/>
              </w:rPr>
              <w:t xml:space="preserve"> </w:t>
            </w:r>
          </w:p>
          <w:p w:rsidR="0034439B" w:rsidRDefault="007D0069" w:rsidP="0034439B">
            <w:pPr>
              <w:spacing w:before="20"/>
              <w:ind w:left="-60" w:right="-60"/>
              <w:rPr>
                <w:sz w:val="22"/>
              </w:rPr>
            </w:pPr>
            <w:r>
              <w:rPr>
                <w:sz w:val="22"/>
              </w:rPr>
              <w:t xml:space="preserve">The objective of this study is to provide with guidance for raising beam guardrail blockouts for rail height adjustment.  Guidance will include </w:t>
            </w:r>
            <w:r w:rsidR="00CF3DDC">
              <w:rPr>
                <w:sz w:val="22"/>
              </w:rPr>
              <w:t>use of steel</w:t>
            </w:r>
            <w:r w:rsidR="00473BE9">
              <w:rPr>
                <w:sz w:val="22"/>
              </w:rPr>
              <w:t xml:space="preserve"> and wood</w:t>
            </w:r>
            <w:r w:rsidR="00CF3DDC">
              <w:rPr>
                <w:sz w:val="22"/>
              </w:rPr>
              <w:t xml:space="preserve"> </w:t>
            </w:r>
            <w:r>
              <w:rPr>
                <w:sz w:val="22"/>
              </w:rPr>
              <w:t xml:space="preserve">posts with </w:t>
            </w:r>
            <w:r w:rsidRPr="00473BE9">
              <w:rPr>
                <w:sz w:val="22"/>
              </w:rPr>
              <w:t>wood</w:t>
            </w:r>
            <w:r>
              <w:rPr>
                <w:sz w:val="22"/>
              </w:rPr>
              <w:t xml:space="preserve"> and composite blockouts.</w:t>
            </w:r>
          </w:p>
          <w:p w:rsidR="00DE4EDA" w:rsidRDefault="00DE4EDA" w:rsidP="0034439B">
            <w:pPr>
              <w:spacing w:before="20"/>
              <w:ind w:left="-60" w:right="-60"/>
              <w:rPr>
                <w:sz w:val="22"/>
              </w:rPr>
            </w:pPr>
          </w:p>
          <w:p w:rsidR="00DE4EDA" w:rsidRDefault="00DE4EDA" w:rsidP="0034439B">
            <w:pPr>
              <w:spacing w:before="20"/>
              <w:ind w:left="-60" w:right="-60"/>
              <w:rPr>
                <w:sz w:val="22"/>
              </w:rPr>
            </w:pPr>
          </w:p>
          <w:p w:rsidR="00DE4EDA" w:rsidRDefault="00DE4EDA" w:rsidP="0034439B">
            <w:pPr>
              <w:spacing w:before="20"/>
              <w:ind w:left="-60" w:right="-60"/>
              <w:rPr>
                <w:sz w:val="22"/>
              </w:rPr>
            </w:pPr>
          </w:p>
          <w:p w:rsidR="00DE4EDA" w:rsidRDefault="00DE4EDA" w:rsidP="0034439B">
            <w:pPr>
              <w:spacing w:before="20"/>
              <w:ind w:left="-60" w:right="-60"/>
              <w:rPr>
                <w:sz w:val="22"/>
              </w:rPr>
            </w:pPr>
          </w:p>
          <w:p w:rsidR="00DE4EDA" w:rsidRDefault="00DE4EDA" w:rsidP="0034439B">
            <w:pPr>
              <w:spacing w:before="20"/>
              <w:ind w:left="-60" w:right="-60"/>
              <w:rPr>
                <w:sz w:val="22"/>
              </w:rPr>
            </w:pPr>
          </w:p>
          <w:p w:rsidR="00DE4EDA" w:rsidRDefault="00DE4EDA" w:rsidP="0034439B">
            <w:pPr>
              <w:spacing w:before="20"/>
              <w:ind w:left="-60" w:right="-60"/>
              <w:rPr>
                <w:sz w:val="22"/>
              </w:rPr>
            </w:pPr>
          </w:p>
          <w:p w:rsidR="00DE4EDA" w:rsidRDefault="00DE4EDA" w:rsidP="0034439B">
            <w:pPr>
              <w:spacing w:before="20"/>
              <w:ind w:left="-60" w:right="-60"/>
              <w:rPr>
                <w:sz w:val="22"/>
              </w:rPr>
            </w:pPr>
          </w:p>
          <w:p w:rsidR="00DE4EDA" w:rsidRDefault="00DE4EDA" w:rsidP="0034439B">
            <w:pPr>
              <w:spacing w:before="20"/>
              <w:ind w:left="-60" w:right="-60"/>
              <w:rPr>
                <w:sz w:val="22"/>
              </w:rPr>
            </w:pPr>
          </w:p>
          <w:p w:rsidR="00DE4EDA" w:rsidRDefault="00DE4EDA" w:rsidP="0034439B">
            <w:pPr>
              <w:spacing w:before="20"/>
              <w:ind w:left="-60" w:right="-60"/>
              <w:rPr>
                <w:sz w:val="22"/>
              </w:rPr>
            </w:pPr>
          </w:p>
        </w:tc>
      </w:tr>
      <w:tr w:rsidR="00E1663A" w:rsidTr="00441614">
        <w:trPr>
          <w:cantSplit/>
          <w:trHeight w:hRule="exact" w:val="985"/>
        </w:trPr>
        <w:tc>
          <w:tcPr>
            <w:tcW w:w="10368" w:type="dxa"/>
            <w:gridSpan w:val="2"/>
            <w:tcBorders>
              <w:top w:val="single" w:sz="4" w:space="0" w:color="auto"/>
              <w:left w:val="single" w:sz="4" w:space="0" w:color="auto"/>
              <w:bottom w:val="single" w:sz="4" w:space="0" w:color="auto"/>
            </w:tcBorders>
          </w:tcPr>
          <w:p w:rsidR="00E1663A" w:rsidRDefault="00E1663A">
            <w:pPr>
              <w:spacing w:before="20"/>
              <w:ind w:left="-60" w:right="-60"/>
              <w:rPr>
                <w:sz w:val="16"/>
              </w:rPr>
            </w:pPr>
            <w:r>
              <w:rPr>
                <w:sz w:val="16"/>
              </w:rPr>
              <w:t>Expected Benefits:</w:t>
            </w:r>
          </w:p>
          <w:p w:rsidR="00E178D9" w:rsidRDefault="00DE4EDA" w:rsidP="00E178D9">
            <w:pPr>
              <w:spacing w:before="20"/>
              <w:ind w:left="-60" w:right="-60"/>
              <w:rPr>
                <w:sz w:val="22"/>
              </w:rPr>
            </w:pPr>
            <w:r>
              <w:rPr>
                <w:sz w:val="22"/>
              </w:rPr>
              <w:t xml:space="preserve">This </w:t>
            </w:r>
            <w:r w:rsidR="005944A3">
              <w:rPr>
                <w:sz w:val="22"/>
              </w:rPr>
              <w:t>study</w:t>
            </w:r>
            <w:r>
              <w:rPr>
                <w:sz w:val="22"/>
              </w:rPr>
              <w:t xml:space="preserve"> would provide a </w:t>
            </w:r>
            <w:r w:rsidR="005944A3">
              <w:rPr>
                <w:sz w:val="22"/>
              </w:rPr>
              <w:t>guidance</w:t>
            </w:r>
            <w:r w:rsidR="00E178D9">
              <w:rPr>
                <w:sz w:val="22"/>
              </w:rPr>
              <w:t xml:space="preserve"> to complement any existing </w:t>
            </w:r>
            <w:r w:rsidR="00E178D9" w:rsidRPr="00F92555">
              <w:rPr>
                <w:sz w:val="22"/>
              </w:rPr>
              <w:t>guideline regarding the procedure of raising blockouts mounting height on</w:t>
            </w:r>
            <w:r w:rsidR="00CF3DDC">
              <w:rPr>
                <w:sz w:val="22"/>
              </w:rPr>
              <w:t xml:space="preserve"> steel </w:t>
            </w:r>
            <w:r w:rsidR="00E178D9" w:rsidRPr="00F92555">
              <w:rPr>
                <w:sz w:val="22"/>
              </w:rPr>
              <w:t>posts to achieve recommended rail height for a W-beam guardrail</w:t>
            </w:r>
            <w:r w:rsidR="00E178D9">
              <w:rPr>
                <w:sz w:val="22"/>
              </w:rPr>
              <w:t xml:space="preserve">. </w:t>
            </w:r>
            <w:r w:rsidR="00E178D9" w:rsidRPr="00F92555">
              <w:rPr>
                <w:sz w:val="22"/>
              </w:rPr>
              <w:t xml:space="preserve"> </w:t>
            </w:r>
          </w:p>
          <w:p w:rsidR="00E1663A" w:rsidRDefault="00E1663A" w:rsidP="005944A3">
            <w:pPr>
              <w:spacing w:before="20"/>
              <w:ind w:right="-60"/>
              <w:rPr>
                <w:sz w:val="22"/>
              </w:rPr>
            </w:pPr>
          </w:p>
        </w:tc>
      </w:tr>
      <w:tr w:rsidR="00E1663A" w:rsidTr="00B4012E">
        <w:trPr>
          <w:cantSplit/>
          <w:trHeight w:val="3770"/>
        </w:trPr>
        <w:tc>
          <w:tcPr>
            <w:tcW w:w="10368" w:type="dxa"/>
            <w:gridSpan w:val="2"/>
            <w:tcBorders>
              <w:top w:val="single" w:sz="4" w:space="0" w:color="auto"/>
              <w:left w:val="single" w:sz="4" w:space="0" w:color="auto"/>
              <w:bottom w:val="single" w:sz="4" w:space="0" w:color="auto"/>
            </w:tcBorders>
          </w:tcPr>
          <w:p w:rsidR="00E1663A" w:rsidRDefault="00E1663A">
            <w:pPr>
              <w:spacing w:before="20"/>
              <w:ind w:left="-60" w:right="-60"/>
              <w:rPr>
                <w:i/>
                <w:sz w:val="16"/>
              </w:rPr>
            </w:pPr>
            <w:r>
              <w:rPr>
                <w:sz w:val="16"/>
              </w:rPr>
              <w:lastRenderedPageBreak/>
              <w:t>Description of the Proposed Feature to be Tested:</w:t>
            </w:r>
            <w:r>
              <w:rPr>
                <w:sz w:val="16"/>
              </w:rPr>
              <w:t> </w:t>
            </w:r>
            <w:r>
              <w:rPr>
                <w:i/>
                <w:sz w:val="16"/>
              </w:rPr>
              <w:t>(Be as detailed as possible.  Include drawings and/or plans, if available.)</w:t>
            </w:r>
          </w:p>
          <w:p w:rsidR="00E1663A" w:rsidRDefault="003C2531" w:rsidP="007B2411">
            <w:pPr>
              <w:spacing w:before="20"/>
              <w:ind w:left="-60" w:right="-60"/>
              <w:rPr>
                <w:sz w:val="22"/>
              </w:rPr>
            </w:pPr>
            <w:r>
              <w:rPr>
                <w:sz w:val="22"/>
              </w:rPr>
              <w:t>TDOT</w:t>
            </w:r>
            <w:r w:rsidRPr="003C2531">
              <w:rPr>
                <w:sz w:val="22"/>
              </w:rPr>
              <w:t xml:space="preserve"> current standard </w:t>
            </w:r>
            <w:r>
              <w:rPr>
                <w:sz w:val="22"/>
              </w:rPr>
              <w:t>drawing showing the extra holes (S-GR31-1):</w:t>
            </w:r>
          </w:p>
          <w:p w:rsidR="007601BB" w:rsidRDefault="002D238B" w:rsidP="007B2411">
            <w:pPr>
              <w:spacing w:before="20"/>
              <w:ind w:left="-60" w:right="-60"/>
              <w:rPr>
                <w:sz w:val="22"/>
              </w:rPr>
            </w:pPr>
            <w:hyperlink r:id="rId5" w:history="1">
              <w:r w:rsidR="007601BB" w:rsidRPr="004F0F94">
                <w:rPr>
                  <w:rStyle w:val="Hyperlink"/>
                  <w:sz w:val="22"/>
                </w:rPr>
                <w:t>http://www.tdot.state.tn.us/Chief_Engineer/engr_library/design/StdDrwgEng_PDFs/SGR311_000000.pdf</w:t>
              </w:r>
            </w:hyperlink>
          </w:p>
          <w:p w:rsidR="00707411" w:rsidRDefault="00707411" w:rsidP="007B2411">
            <w:pPr>
              <w:spacing w:before="20"/>
              <w:ind w:left="-60" w:right="-60"/>
              <w:rPr>
                <w:sz w:val="22"/>
              </w:rPr>
            </w:pPr>
          </w:p>
          <w:p w:rsidR="00707411" w:rsidRDefault="00707411" w:rsidP="007B2411">
            <w:pPr>
              <w:spacing w:before="20"/>
              <w:ind w:left="-60" w:right="-60"/>
            </w:pPr>
            <w:r>
              <w:object w:dxaOrig="15195" w:dyaOrig="10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35pt;height:337.4pt" o:ole="">
                  <v:imagedata r:id="rId6" o:title=""/>
                </v:shape>
                <o:OLEObject Type="Embed" ProgID="PBrush" ShapeID="_x0000_i1025" DrawAspect="Content" ObjectID="_1470128121" r:id="rId7"/>
              </w:object>
            </w:r>
          </w:p>
          <w:p w:rsidR="00707411" w:rsidRDefault="00707411" w:rsidP="007B2411">
            <w:pPr>
              <w:spacing w:before="20"/>
              <w:ind w:left="-60" w:right="-60"/>
              <w:rPr>
                <w:sz w:val="22"/>
              </w:rPr>
            </w:pPr>
          </w:p>
        </w:tc>
      </w:tr>
      <w:tr w:rsidR="00E1663A" w:rsidTr="00B4012E">
        <w:trPr>
          <w:cantSplit/>
          <w:trHeight w:hRule="exact" w:val="720"/>
        </w:trPr>
        <w:tc>
          <w:tcPr>
            <w:tcW w:w="5508" w:type="dxa"/>
            <w:tcBorders>
              <w:top w:val="single" w:sz="4" w:space="0" w:color="auto"/>
              <w:left w:val="single" w:sz="4" w:space="0" w:color="auto"/>
              <w:bottom w:val="single" w:sz="4" w:space="0" w:color="auto"/>
            </w:tcBorders>
          </w:tcPr>
          <w:p w:rsidR="00E1663A" w:rsidRDefault="00E1663A">
            <w:pPr>
              <w:spacing w:before="20"/>
              <w:ind w:left="-60" w:right="-60"/>
              <w:rPr>
                <w:i/>
                <w:sz w:val="16"/>
              </w:rPr>
            </w:pPr>
            <w:r>
              <w:rPr>
                <w:sz w:val="16"/>
              </w:rPr>
              <w:t xml:space="preserve">Estimated Cost </w:t>
            </w:r>
            <w:r>
              <w:rPr>
                <w:i/>
                <w:sz w:val="16"/>
              </w:rPr>
              <w:t>(of the feature per linear foot installed):</w:t>
            </w:r>
          </w:p>
          <w:p w:rsidR="00E1663A" w:rsidRDefault="00441614" w:rsidP="00441614">
            <w:pPr>
              <w:spacing w:before="120"/>
              <w:ind w:left="-60" w:right="-60"/>
              <w:jc w:val="center"/>
              <w:rPr>
                <w:sz w:val="22"/>
              </w:rPr>
            </w:pPr>
            <w:r>
              <w:rPr>
                <w:sz w:val="22"/>
              </w:rPr>
              <w:t>$xx</w:t>
            </w:r>
            <w:r w:rsidR="00DE4EDA">
              <w:rPr>
                <w:sz w:val="22"/>
              </w:rPr>
              <w:t>,000</w:t>
            </w:r>
          </w:p>
        </w:tc>
        <w:tc>
          <w:tcPr>
            <w:tcW w:w="4860" w:type="dxa"/>
            <w:tcBorders>
              <w:top w:val="single" w:sz="4" w:space="0" w:color="auto"/>
              <w:left w:val="single" w:sz="4" w:space="0" w:color="auto"/>
              <w:bottom w:val="single" w:sz="4" w:space="0" w:color="auto"/>
            </w:tcBorders>
          </w:tcPr>
          <w:p w:rsidR="00E1663A" w:rsidRDefault="00E1663A">
            <w:pPr>
              <w:spacing w:before="20"/>
              <w:ind w:left="-60" w:right="-60"/>
              <w:rPr>
                <w:sz w:val="16"/>
              </w:rPr>
            </w:pPr>
            <w:r>
              <w:rPr>
                <w:sz w:val="16"/>
              </w:rPr>
              <w:t>Total Estimated Cost of Crash Test:</w:t>
            </w:r>
          </w:p>
          <w:p w:rsidR="00E1663A" w:rsidRDefault="00DE4EDA" w:rsidP="00441614">
            <w:pPr>
              <w:spacing w:before="120"/>
              <w:ind w:left="-60" w:right="-60"/>
              <w:jc w:val="center"/>
              <w:rPr>
                <w:sz w:val="22"/>
              </w:rPr>
            </w:pPr>
            <w:r>
              <w:rPr>
                <w:sz w:val="22"/>
              </w:rPr>
              <w:t>$</w:t>
            </w:r>
            <w:r w:rsidR="00441614">
              <w:rPr>
                <w:sz w:val="22"/>
              </w:rPr>
              <w:t>xx</w:t>
            </w:r>
            <w:r>
              <w:rPr>
                <w:sz w:val="22"/>
              </w:rPr>
              <w:t>,000</w:t>
            </w:r>
          </w:p>
        </w:tc>
      </w:tr>
      <w:tr w:rsidR="00E1663A" w:rsidTr="0050134F">
        <w:trPr>
          <w:cantSplit/>
          <w:trHeight w:hRule="exact" w:val="1081"/>
        </w:trPr>
        <w:tc>
          <w:tcPr>
            <w:tcW w:w="5508" w:type="dxa"/>
            <w:tcBorders>
              <w:top w:val="single" w:sz="4" w:space="0" w:color="auto"/>
              <w:left w:val="single" w:sz="4" w:space="0" w:color="auto"/>
              <w:bottom w:val="single" w:sz="4" w:space="0" w:color="auto"/>
            </w:tcBorders>
          </w:tcPr>
          <w:p w:rsidR="00E1663A" w:rsidRDefault="00E1663A">
            <w:pPr>
              <w:spacing w:before="20"/>
              <w:ind w:left="-60" w:right="-60"/>
              <w:rPr>
                <w:sz w:val="16"/>
              </w:rPr>
            </w:pPr>
            <w:r>
              <w:rPr>
                <w:sz w:val="16"/>
              </w:rPr>
              <w:t>Contact Person:</w:t>
            </w:r>
          </w:p>
          <w:p w:rsidR="005F11C2" w:rsidRDefault="0050134F" w:rsidP="007B6779">
            <w:pPr>
              <w:spacing w:before="120"/>
              <w:ind w:left="-60" w:right="-60"/>
              <w:jc w:val="center"/>
              <w:rPr>
                <w:sz w:val="22"/>
              </w:rPr>
            </w:pPr>
            <w:r>
              <w:rPr>
                <w:sz w:val="22"/>
              </w:rPr>
              <w:t>Ali Hangul, Mike Elle</w:t>
            </w:r>
          </w:p>
        </w:tc>
        <w:tc>
          <w:tcPr>
            <w:tcW w:w="4860" w:type="dxa"/>
            <w:tcBorders>
              <w:top w:val="single" w:sz="4" w:space="0" w:color="auto"/>
              <w:left w:val="single" w:sz="4" w:space="0" w:color="auto"/>
              <w:bottom w:val="single" w:sz="4" w:space="0" w:color="auto"/>
            </w:tcBorders>
          </w:tcPr>
          <w:p w:rsidR="00E1663A" w:rsidRDefault="00E1663A">
            <w:pPr>
              <w:spacing w:before="20"/>
              <w:ind w:left="-60" w:right="-60"/>
              <w:rPr>
                <w:sz w:val="16"/>
              </w:rPr>
            </w:pPr>
            <w:r>
              <w:rPr>
                <w:sz w:val="16"/>
              </w:rPr>
              <w:t>Telephone:</w:t>
            </w:r>
          </w:p>
          <w:p w:rsidR="00E1663A" w:rsidRDefault="0050134F" w:rsidP="00441614">
            <w:pPr>
              <w:spacing w:before="120"/>
              <w:ind w:left="-60" w:right="-60"/>
              <w:jc w:val="center"/>
              <w:rPr>
                <w:sz w:val="22"/>
              </w:rPr>
            </w:pPr>
            <w:r>
              <w:rPr>
                <w:sz w:val="22"/>
              </w:rPr>
              <w:t>Ali Hangul</w:t>
            </w:r>
            <w:r w:rsidR="0098477B">
              <w:rPr>
                <w:sz w:val="22"/>
              </w:rPr>
              <w:t xml:space="preserve"> – </w:t>
            </w:r>
            <w:r>
              <w:t xml:space="preserve"> </w:t>
            </w:r>
            <w:r w:rsidRPr="0050134F">
              <w:rPr>
                <w:sz w:val="22"/>
              </w:rPr>
              <w:t>(615) 741-0840</w:t>
            </w:r>
            <w:r>
              <w:rPr>
                <w:sz w:val="22"/>
              </w:rPr>
              <w:t xml:space="preserve"> / Mike Elle </w:t>
            </w:r>
            <w:r>
              <w:t xml:space="preserve"> </w:t>
            </w:r>
            <w:r w:rsidRPr="0050134F">
              <w:rPr>
                <w:sz w:val="22"/>
              </w:rPr>
              <w:t>(651) 366-4622</w:t>
            </w:r>
          </w:p>
        </w:tc>
      </w:tr>
    </w:tbl>
    <w:p w:rsidR="00C94C53" w:rsidRDefault="00C94C53"/>
    <w:p w:rsidR="00FB0BC4" w:rsidRDefault="00FB0BC4"/>
    <w:sectPr w:rsidR="00FB0BC4" w:rsidSect="00B834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2E"/>
    <w:rsid w:val="00027C26"/>
    <w:rsid w:val="000614CE"/>
    <w:rsid w:val="000C1B41"/>
    <w:rsid w:val="000E2D6C"/>
    <w:rsid w:val="00112819"/>
    <w:rsid w:val="00130F4A"/>
    <w:rsid w:val="00166EBA"/>
    <w:rsid w:val="001E0A4F"/>
    <w:rsid w:val="001F2C14"/>
    <w:rsid w:val="0020652F"/>
    <w:rsid w:val="002B4450"/>
    <w:rsid w:val="002D238B"/>
    <w:rsid w:val="002F6FDC"/>
    <w:rsid w:val="0034439B"/>
    <w:rsid w:val="003C2531"/>
    <w:rsid w:val="003F7056"/>
    <w:rsid w:val="004006F7"/>
    <w:rsid w:val="00441614"/>
    <w:rsid w:val="004436E5"/>
    <w:rsid w:val="00456DEE"/>
    <w:rsid w:val="00473BE9"/>
    <w:rsid w:val="004E2005"/>
    <w:rsid w:val="0050134F"/>
    <w:rsid w:val="005600A5"/>
    <w:rsid w:val="00577035"/>
    <w:rsid w:val="005944A3"/>
    <w:rsid w:val="005F11C2"/>
    <w:rsid w:val="00667596"/>
    <w:rsid w:val="00700EC0"/>
    <w:rsid w:val="00707411"/>
    <w:rsid w:val="007601BB"/>
    <w:rsid w:val="00765A25"/>
    <w:rsid w:val="007B2411"/>
    <w:rsid w:val="007B6779"/>
    <w:rsid w:val="007C2C55"/>
    <w:rsid w:val="007D0069"/>
    <w:rsid w:val="00801159"/>
    <w:rsid w:val="00883F39"/>
    <w:rsid w:val="0088562C"/>
    <w:rsid w:val="00905FC6"/>
    <w:rsid w:val="00912890"/>
    <w:rsid w:val="00961197"/>
    <w:rsid w:val="0098477B"/>
    <w:rsid w:val="0098744E"/>
    <w:rsid w:val="009C468F"/>
    <w:rsid w:val="00A12002"/>
    <w:rsid w:val="00A26DBF"/>
    <w:rsid w:val="00AA57AC"/>
    <w:rsid w:val="00AB55FF"/>
    <w:rsid w:val="00B36C59"/>
    <w:rsid w:val="00B4012E"/>
    <w:rsid w:val="00B6160C"/>
    <w:rsid w:val="00B8345D"/>
    <w:rsid w:val="00BB62F3"/>
    <w:rsid w:val="00BD11C9"/>
    <w:rsid w:val="00C46696"/>
    <w:rsid w:val="00C94C53"/>
    <w:rsid w:val="00CD2768"/>
    <w:rsid w:val="00CE7AFD"/>
    <w:rsid w:val="00CF3DDC"/>
    <w:rsid w:val="00D21BBD"/>
    <w:rsid w:val="00D855D9"/>
    <w:rsid w:val="00D9329B"/>
    <w:rsid w:val="00D95103"/>
    <w:rsid w:val="00DE4EDA"/>
    <w:rsid w:val="00DF467E"/>
    <w:rsid w:val="00DF58ED"/>
    <w:rsid w:val="00E1663A"/>
    <w:rsid w:val="00E178D9"/>
    <w:rsid w:val="00E43154"/>
    <w:rsid w:val="00E87730"/>
    <w:rsid w:val="00E956FE"/>
    <w:rsid w:val="00EB399A"/>
    <w:rsid w:val="00F041B7"/>
    <w:rsid w:val="00F12DD5"/>
    <w:rsid w:val="00F30B44"/>
    <w:rsid w:val="00F3452E"/>
    <w:rsid w:val="00F92555"/>
    <w:rsid w:val="00FA1FFD"/>
    <w:rsid w:val="00FB0BC4"/>
    <w:rsid w:val="00FB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45D"/>
    <w:rPr>
      <w:sz w:val="24"/>
      <w:szCs w:val="24"/>
    </w:rPr>
  </w:style>
  <w:style w:type="paragraph" w:styleId="Heading1">
    <w:name w:val="heading 1"/>
    <w:basedOn w:val="Normal"/>
    <w:next w:val="Normal"/>
    <w:qFormat/>
    <w:rsid w:val="00B8345D"/>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56DEE"/>
    <w:rPr>
      <w:rFonts w:ascii="Tahoma" w:hAnsi="Tahoma" w:cs="Tahoma"/>
      <w:sz w:val="16"/>
      <w:szCs w:val="16"/>
    </w:rPr>
  </w:style>
  <w:style w:type="character" w:customStyle="1" w:styleId="BalloonTextChar">
    <w:name w:val="Balloon Text Char"/>
    <w:basedOn w:val="DefaultParagraphFont"/>
    <w:link w:val="BalloonText"/>
    <w:rsid w:val="00456DEE"/>
    <w:rPr>
      <w:rFonts w:ascii="Tahoma" w:hAnsi="Tahoma" w:cs="Tahoma"/>
      <w:sz w:val="16"/>
      <w:szCs w:val="16"/>
    </w:rPr>
  </w:style>
  <w:style w:type="character" w:styleId="Hyperlink">
    <w:name w:val="Hyperlink"/>
    <w:basedOn w:val="DefaultParagraphFont"/>
    <w:rsid w:val="007601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45D"/>
    <w:rPr>
      <w:sz w:val="24"/>
      <w:szCs w:val="24"/>
    </w:rPr>
  </w:style>
  <w:style w:type="paragraph" w:styleId="Heading1">
    <w:name w:val="heading 1"/>
    <w:basedOn w:val="Normal"/>
    <w:next w:val="Normal"/>
    <w:qFormat/>
    <w:rsid w:val="00B8345D"/>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56DEE"/>
    <w:rPr>
      <w:rFonts w:ascii="Tahoma" w:hAnsi="Tahoma" w:cs="Tahoma"/>
      <w:sz w:val="16"/>
      <w:szCs w:val="16"/>
    </w:rPr>
  </w:style>
  <w:style w:type="character" w:customStyle="1" w:styleId="BalloonTextChar">
    <w:name w:val="Balloon Text Char"/>
    <w:basedOn w:val="DefaultParagraphFont"/>
    <w:link w:val="BalloonText"/>
    <w:rsid w:val="00456DEE"/>
    <w:rPr>
      <w:rFonts w:ascii="Tahoma" w:hAnsi="Tahoma" w:cs="Tahoma"/>
      <w:sz w:val="16"/>
      <w:szCs w:val="16"/>
    </w:rPr>
  </w:style>
  <w:style w:type="character" w:styleId="Hyperlink">
    <w:name w:val="Hyperlink"/>
    <w:basedOn w:val="DefaultParagraphFont"/>
    <w:rsid w:val="00760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tdot.state.tn.us/Chief_Engineer/engr_library/design/StdDrwgEng_PDFs/SGR311_00000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362</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Midwest States Pooled Fund Program</vt:lpstr>
    </vt:vector>
  </TitlesOfParts>
  <Company>Nebraska Dept. of Roads</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 States Pooled Fund Program</dc:title>
  <dc:creator>dor9032</dc:creator>
  <cp:lastModifiedBy>Menges, Wanda</cp:lastModifiedBy>
  <cp:revision>4</cp:revision>
  <cp:lastPrinted>2010-09-14T14:55:00Z</cp:lastPrinted>
  <dcterms:created xsi:type="dcterms:W3CDTF">2014-08-12T20:04:00Z</dcterms:created>
  <dcterms:modified xsi:type="dcterms:W3CDTF">2014-08-21T17:09:00Z</dcterms:modified>
</cp:coreProperties>
</file>